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7D46D7" w:rsidRDefault="007D46D7" w:rsidP="003254F9">
      <w:pPr>
        <w:jc w:val="both"/>
        <w:rPr>
          <w:rFonts w:ascii="Times New Roman" w:hAnsi="Times New Roman"/>
          <w:sz w:val="22"/>
          <w:szCs w:val="22"/>
        </w:rPr>
      </w:pPr>
    </w:p>
    <w:p w:rsidR="007D46D7" w:rsidRDefault="007D46D7" w:rsidP="003254F9">
      <w:pPr>
        <w:jc w:val="both"/>
        <w:rPr>
          <w:rFonts w:ascii="Times New Roman" w:hAnsi="Times New Roman"/>
          <w:color w:val="000000" w:themeColor="text1"/>
          <w:sz w:val="22"/>
          <w:szCs w:val="22"/>
        </w:rPr>
      </w:pP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FINANZIARIO</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Contabilita'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Rendiconto</w:t>
            </w:r>
          </w:p>
          <w:p w:rsidR="00EE282E" w:rsidRDefault="00DD7C2A">
            <w:pPr>
              <w:jc w:val="both"/>
            </w:pPr>
            <w:r>
              <w:rPr>
                <w:rFonts w:ascii="Times New Roman" w:hAnsi="Times New Roman"/>
                <w:sz w:val="22"/>
                <w:szCs w:val="22"/>
              </w:rPr>
              <w:t>Certificazioni del bilancio preventivo e consuntivo ed altre certificazioni</w:t>
            </w:r>
          </w:p>
          <w:p w:rsidR="00EE282E" w:rsidRDefault="00DD7C2A">
            <w:pPr>
              <w:jc w:val="both"/>
            </w:pPr>
            <w:r>
              <w:rPr>
                <w:rFonts w:ascii="Times New Roman" w:hAnsi="Times New Roman"/>
                <w:sz w:val="22"/>
                <w:szCs w:val="22"/>
              </w:rPr>
              <w:t>Mandati di pagamento</w:t>
            </w:r>
          </w:p>
          <w:p w:rsidR="00EE282E" w:rsidRDefault="00DD7C2A">
            <w:pPr>
              <w:jc w:val="both"/>
            </w:pPr>
            <w:r>
              <w:rPr>
                <w:rFonts w:ascii="Times New Roman" w:hAnsi="Times New Roman"/>
                <w:sz w:val="22"/>
                <w:szCs w:val="22"/>
              </w:rPr>
              <w:t>Variazioni al bilancio di previsione e P.E.G.</w:t>
            </w:r>
          </w:p>
          <w:p w:rsidR="00EE282E" w:rsidRDefault="00DD7C2A">
            <w:pPr>
              <w:jc w:val="both"/>
            </w:pPr>
            <w:r>
              <w:rPr>
                <w:rFonts w:ascii="Times New Roman" w:hAnsi="Times New Roman"/>
                <w:sz w:val="22"/>
                <w:szCs w:val="22"/>
              </w:rPr>
              <w:t>Gestione cauzioni e fideiussioni</w:t>
            </w:r>
          </w:p>
          <w:p w:rsidR="00EE282E" w:rsidRDefault="00DD7C2A">
            <w:pPr>
              <w:jc w:val="both"/>
            </w:pPr>
            <w:r>
              <w:rPr>
                <w:rFonts w:ascii="Times New Roman" w:hAnsi="Times New Roman"/>
                <w:sz w:val="22"/>
                <w:szCs w:val="22"/>
              </w:rPr>
              <w:t>Inserimento e controllo dati IVA</w:t>
            </w:r>
          </w:p>
          <w:p w:rsidR="00EE282E" w:rsidRDefault="00DD7C2A">
            <w:pPr>
              <w:jc w:val="both"/>
            </w:pPr>
            <w:r>
              <w:rPr>
                <w:rFonts w:ascii="Times New Roman" w:hAnsi="Times New Roman"/>
                <w:sz w:val="22"/>
                <w:szCs w:val="22"/>
              </w:rPr>
              <w:t>Inventario beni mobili e immobili</w:t>
            </w:r>
          </w:p>
          <w:p w:rsidR="00EE282E" w:rsidRDefault="00DD7C2A">
            <w:pPr>
              <w:jc w:val="both"/>
            </w:pPr>
            <w:r>
              <w:rPr>
                <w:rFonts w:ascii="Times New Roman" w:hAnsi="Times New Roman"/>
                <w:sz w:val="22"/>
                <w:szCs w:val="22"/>
              </w:rPr>
              <w:t>Parere di regolarita' contabile</w:t>
            </w:r>
          </w:p>
          <w:p w:rsidR="00EE282E" w:rsidRDefault="00DD7C2A">
            <w:pPr>
              <w:jc w:val="both"/>
            </w:pPr>
            <w:r>
              <w:rPr>
                <w:rFonts w:ascii="Times New Roman" w:hAnsi="Times New Roman"/>
                <w:sz w:val="22"/>
                <w:szCs w:val="22"/>
              </w:rPr>
              <w:t>Parere sugli atti con finanziamenti in conto capitale</w:t>
            </w:r>
          </w:p>
          <w:p w:rsidR="00EE282E" w:rsidRDefault="00DD7C2A">
            <w:pPr>
              <w:jc w:val="both"/>
            </w:pPr>
            <w:r>
              <w:rPr>
                <w:rFonts w:ascii="Times New Roman" w:hAnsi="Times New Roman"/>
                <w:sz w:val="22"/>
                <w:szCs w:val="22"/>
              </w:rPr>
              <w:t>Recupero e registrazione giornaliera delle operazioni del Tesoriere re</w:t>
            </w:r>
            <w:r>
              <w:rPr>
                <w:rFonts w:ascii="Times New Roman" w:hAnsi="Times New Roman"/>
                <w:sz w:val="22"/>
                <w:szCs w:val="22"/>
              </w:rPr>
              <w:t>lative ai versamenti in Tesoreria da parte degli utenti e chiusura mensile dei sospesi del Tesoriere</w:t>
            </w:r>
          </w:p>
          <w:p w:rsidR="00EE282E" w:rsidRDefault="00DD7C2A">
            <w:pPr>
              <w:jc w:val="both"/>
            </w:pPr>
            <w:r>
              <w:rPr>
                <w:rFonts w:ascii="Times New Roman" w:hAnsi="Times New Roman"/>
                <w:sz w:val="22"/>
                <w:szCs w:val="22"/>
              </w:rPr>
              <w:t>Documento Unico di Programmazione - DUP</w:t>
            </w:r>
          </w:p>
          <w:p w:rsidR="00EE282E" w:rsidRDefault="00DD7C2A">
            <w:pPr>
              <w:jc w:val="both"/>
            </w:pPr>
            <w:r>
              <w:rPr>
                <w:rFonts w:ascii="Times New Roman" w:hAnsi="Times New Roman"/>
                <w:sz w:val="22"/>
                <w:szCs w:val="22"/>
              </w:rPr>
              <w:t>Piano esecutivo di gestione - PEG</w:t>
            </w:r>
          </w:p>
          <w:p w:rsidR="00EE282E" w:rsidRDefault="00DD7C2A">
            <w:pPr>
              <w:jc w:val="both"/>
            </w:pPr>
            <w:r>
              <w:rPr>
                <w:rFonts w:ascii="Times New Roman" w:hAnsi="Times New Roman"/>
                <w:sz w:val="22"/>
                <w:szCs w:val="22"/>
              </w:rPr>
              <w:t>Monitoraggio patto di stabilita'</w:t>
            </w:r>
          </w:p>
          <w:p w:rsidR="00EE282E" w:rsidRDefault="00DD7C2A">
            <w:pPr>
              <w:jc w:val="both"/>
            </w:pPr>
            <w:r>
              <w:rPr>
                <w:rFonts w:ascii="Times New Roman" w:hAnsi="Times New Roman"/>
                <w:sz w:val="22"/>
                <w:szCs w:val="22"/>
              </w:rPr>
              <w:t>Controllo equilibri finanziari</w:t>
            </w:r>
          </w:p>
          <w:p w:rsidR="00EE282E" w:rsidRDefault="00DD7C2A">
            <w:pPr>
              <w:jc w:val="both"/>
            </w:pPr>
            <w:r>
              <w:rPr>
                <w:rFonts w:ascii="Times New Roman" w:hAnsi="Times New Roman"/>
                <w:sz w:val="22"/>
                <w:szCs w:val="22"/>
              </w:rPr>
              <w:t>Bilancio di previ</w:t>
            </w:r>
            <w:r>
              <w:rPr>
                <w:rFonts w:ascii="Times New Roman" w:hAnsi="Times New Roman"/>
                <w:sz w:val="22"/>
                <w:szCs w:val="22"/>
              </w:rPr>
              <w:t>sione</w:t>
            </w:r>
          </w:p>
          <w:p w:rsidR="00EE282E" w:rsidRDefault="00DD7C2A">
            <w:pPr>
              <w:jc w:val="both"/>
            </w:pPr>
            <w:r>
              <w:rPr>
                <w:rFonts w:ascii="Times New Roman" w:hAnsi="Times New Roman"/>
                <w:sz w:val="22"/>
                <w:szCs w:val="22"/>
              </w:rPr>
              <w:t>Versamenti addizionale comunale rateizzata</w:t>
            </w:r>
          </w:p>
          <w:p w:rsidR="00EE282E" w:rsidRDefault="00DD7C2A">
            <w:pPr>
              <w:jc w:val="both"/>
            </w:pPr>
            <w:r>
              <w:rPr>
                <w:rFonts w:ascii="Times New Roman" w:hAnsi="Times New Roman"/>
                <w:sz w:val="22"/>
                <w:szCs w:val="22"/>
              </w:rPr>
              <w:t>Versamenti addizionale regionale rateizzata</w:t>
            </w:r>
          </w:p>
          <w:p w:rsidR="00EE282E" w:rsidRDefault="00EE282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62 - Ufficio Ragioneria/Programmazione e Pianificazione - Trattamento di dati relativi all'attivita' di gestione economica, finanziaria, programmazione e provveditorato inclusa la relativa movimentazione finanziaria, la gestione delle fatture, inventario e cassa economale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EE282E" w:rsidRDefault="00DD7C2A">
            <w:pPr>
              <w:jc w:val="both"/>
            </w:pPr>
            <w:r>
              <w:rPr>
                <w:rFonts w:ascii="Times New Roman" w:hAnsi="Times New Roman"/>
                <w:sz w:val="22"/>
                <w:szCs w:val="22"/>
              </w:rPr>
              <w:t>Dott.ssa Schito Sandrina</w:t>
            </w:r>
          </w:p>
          <w:p w:rsidR="00EE282E" w:rsidRDefault="00EE282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D7C2A"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E282E" w:rsidRDefault="00EE282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Rendiconto</w:t>
            </w:r>
          </w:p>
          <w:p w:rsidR="00EE282E" w:rsidRDefault="00DD7C2A">
            <w:pPr>
              <w:jc w:val="both"/>
            </w:pPr>
            <w:r>
              <w:rPr>
                <w:rFonts w:ascii="Times New Roman" w:hAnsi="Times New Roman"/>
                <w:sz w:val="22"/>
                <w:szCs w:val="22"/>
              </w:rPr>
              <w:t>Certificazioni del bilancio preventivo e consuntivo ed altre certificazioni</w:t>
            </w:r>
          </w:p>
          <w:p w:rsidR="00EE282E" w:rsidRDefault="00DD7C2A">
            <w:pPr>
              <w:jc w:val="both"/>
            </w:pPr>
            <w:r>
              <w:rPr>
                <w:rFonts w:ascii="Times New Roman" w:hAnsi="Times New Roman"/>
                <w:sz w:val="22"/>
                <w:szCs w:val="22"/>
              </w:rPr>
              <w:t>Mandati di pagamento</w:t>
            </w:r>
          </w:p>
          <w:p w:rsidR="00EE282E" w:rsidRDefault="00DD7C2A">
            <w:pPr>
              <w:jc w:val="both"/>
            </w:pPr>
            <w:r>
              <w:rPr>
                <w:rFonts w:ascii="Times New Roman" w:hAnsi="Times New Roman"/>
                <w:sz w:val="22"/>
                <w:szCs w:val="22"/>
              </w:rPr>
              <w:t>Variazioni al bilancio di previsione e P.E.G.</w:t>
            </w:r>
          </w:p>
          <w:p w:rsidR="00EE282E" w:rsidRDefault="00DD7C2A">
            <w:pPr>
              <w:jc w:val="both"/>
            </w:pPr>
            <w:r>
              <w:rPr>
                <w:rFonts w:ascii="Times New Roman" w:hAnsi="Times New Roman"/>
                <w:sz w:val="22"/>
                <w:szCs w:val="22"/>
              </w:rPr>
              <w:t>Gestione cauzioni e fideiussioni</w:t>
            </w:r>
          </w:p>
          <w:p w:rsidR="00EE282E" w:rsidRDefault="00DD7C2A">
            <w:pPr>
              <w:jc w:val="both"/>
            </w:pPr>
            <w:r>
              <w:rPr>
                <w:rFonts w:ascii="Times New Roman" w:hAnsi="Times New Roman"/>
                <w:sz w:val="22"/>
                <w:szCs w:val="22"/>
              </w:rPr>
              <w:t>Inserimento e controllo dati IVA</w:t>
            </w:r>
          </w:p>
          <w:p w:rsidR="00EE282E" w:rsidRDefault="00DD7C2A">
            <w:pPr>
              <w:jc w:val="both"/>
            </w:pPr>
            <w:r>
              <w:rPr>
                <w:rFonts w:ascii="Times New Roman" w:hAnsi="Times New Roman"/>
                <w:sz w:val="22"/>
                <w:szCs w:val="22"/>
              </w:rPr>
              <w:lastRenderedPageBreak/>
              <w:t>Inventario beni mobili e immobili</w:t>
            </w:r>
          </w:p>
          <w:p w:rsidR="00EE282E" w:rsidRDefault="00DD7C2A">
            <w:pPr>
              <w:jc w:val="both"/>
            </w:pPr>
            <w:r>
              <w:rPr>
                <w:rFonts w:ascii="Times New Roman" w:hAnsi="Times New Roman"/>
                <w:sz w:val="22"/>
                <w:szCs w:val="22"/>
              </w:rPr>
              <w:t>Parere di regolarita' contabile</w:t>
            </w:r>
          </w:p>
          <w:p w:rsidR="00EE282E" w:rsidRDefault="00DD7C2A">
            <w:pPr>
              <w:jc w:val="both"/>
            </w:pPr>
            <w:r>
              <w:rPr>
                <w:rFonts w:ascii="Times New Roman" w:hAnsi="Times New Roman"/>
                <w:sz w:val="22"/>
                <w:szCs w:val="22"/>
              </w:rPr>
              <w:t>Parere sugli atti con finanziamenti in conto capitale</w:t>
            </w:r>
          </w:p>
          <w:p w:rsidR="00EE282E" w:rsidRDefault="00DD7C2A">
            <w:pPr>
              <w:jc w:val="both"/>
            </w:pPr>
            <w:r>
              <w:rPr>
                <w:rFonts w:ascii="Times New Roman" w:hAnsi="Times New Roman"/>
                <w:sz w:val="22"/>
                <w:szCs w:val="22"/>
              </w:rPr>
              <w:t>Recupero e registrazione giornaliera delle operazioni del Tesoriere relative ai versamenti in Tesoreria da parte degli utenti e chiusura</w:t>
            </w:r>
            <w:r>
              <w:rPr>
                <w:rFonts w:ascii="Times New Roman" w:hAnsi="Times New Roman"/>
                <w:sz w:val="22"/>
                <w:szCs w:val="22"/>
              </w:rPr>
              <w:t xml:space="preserve"> mensile dei sospesi del Tesoriere</w:t>
            </w:r>
          </w:p>
          <w:p w:rsidR="00EE282E" w:rsidRDefault="00DD7C2A">
            <w:pPr>
              <w:jc w:val="both"/>
            </w:pPr>
            <w:r>
              <w:rPr>
                <w:rFonts w:ascii="Times New Roman" w:hAnsi="Times New Roman"/>
                <w:sz w:val="22"/>
                <w:szCs w:val="22"/>
              </w:rPr>
              <w:t>Documento Unico di Programmazione - DUP</w:t>
            </w:r>
          </w:p>
          <w:p w:rsidR="00EE282E" w:rsidRDefault="00DD7C2A">
            <w:pPr>
              <w:jc w:val="both"/>
            </w:pPr>
            <w:r>
              <w:rPr>
                <w:rFonts w:ascii="Times New Roman" w:hAnsi="Times New Roman"/>
                <w:sz w:val="22"/>
                <w:szCs w:val="22"/>
              </w:rPr>
              <w:t>Piano esecutivo di gestione - PEG</w:t>
            </w:r>
          </w:p>
          <w:p w:rsidR="00EE282E" w:rsidRDefault="00DD7C2A">
            <w:pPr>
              <w:jc w:val="both"/>
            </w:pPr>
            <w:r>
              <w:rPr>
                <w:rFonts w:ascii="Times New Roman" w:hAnsi="Times New Roman"/>
                <w:sz w:val="22"/>
                <w:szCs w:val="22"/>
              </w:rPr>
              <w:t>Monitoraggio patto di stabilita'</w:t>
            </w:r>
          </w:p>
          <w:p w:rsidR="00EE282E" w:rsidRDefault="00DD7C2A">
            <w:pPr>
              <w:jc w:val="both"/>
            </w:pPr>
            <w:r>
              <w:rPr>
                <w:rFonts w:ascii="Times New Roman" w:hAnsi="Times New Roman"/>
                <w:sz w:val="22"/>
                <w:szCs w:val="22"/>
              </w:rPr>
              <w:t>Controllo equilibri finanziari</w:t>
            </w:r>
          </w:p>
          <w:p w:rsidR="00EE282E" w:rsidRDefault="00DD7C2A">
            <w:pPr>
              <w:jc w:val="both"/>
            </w:pPr>
            <w:r>
              <w:rPr>
                <w:rFonts w:ascii="Times New Roman" w:hAnsi="Times New Roman"/>
                <w:sz w:val="22"/>
                <w:szCs w:val="22"/>
              </w:rPr>
              <w:t>Bilancio di previsione</w:t>
            </w:r>
          </w:p>
          <w:p w:rsidR="00EE282E" w:rsidRDefault="00DD7C2A">
            <w:pPr>
              <w:jc w:val="both"/>
            </w:pPr>
            <w:r>
              <w:rPr>
                <w:rFonts w:ascii="Times New Roman" w:hAnsi="Times New Roman"/>
                <w:sz w:val="22"/>
                <w:szCs w:val="22"/>
              </w:rPr>
              <w:t>Versamenti addizionale comunale rateizzata</w:t>
            </w:r>
          </w:p>
          <w:p w:rsidR="00EE282E" w:rsidRDefault="00DD7C2A">
            <w:pPr>
              <w:jc w:val="both"/>
            </w:pPr>
            <w:r>
              <w:rPr>
                <w:rFonts w:ascii="Times New Roman" w:hAnsi="Times New Roman"/>
                <w:sz w:val="22"/>
                <w:szCs w:val="22"/>
              </w:rPr>
              <w:t>Versamenti addizi</w:t>
            </w:r>
            <w:r>
              <w:rPr>
                <w:rFonts w:ascii="Times New Roman" w:hAnsi="Times New Roman"/>
                <w:sz w:val="22"/>
                <w:szCs w:val="22"/>
              </w:rPr>
              <w:t>onale regionale rateizzata</w:t>
            </w:r>
          </w:p>
          <w:p w:rsidR="00EE282E" w:rsidRDefault="00EE282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62 -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 xml:space="preserve">(dati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w:t>
            </w:r>
            <w:r w:rsidRPr="00DB1876">
              <w:rPr>
                <w:rFonts w:ascii="Times New Roman" w:hAnsi="Times New Roman" w:cs="Times New Roman"/>
                <w:bCs/>
                <w:i/>
                <w:sz w:val="22"/>
                <w:szCs w:val="22"/>
              </w:rPr>
              <w:lastRenderedPageBreak/>
              <w:t>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lastRenderedPageBreak/>
              <w:t>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lastRenderedPageBreak/>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 xml:space="preserve">chiedere </w:t>
            </w:r>
            <w:r w:rsidRPr="00FF22D0">
              <w:rPr>
                <w:rFonts w:ascii="Times New Roman" w:hAnsi="Times New Roman"/>
                <w:sz w:val="22"/>
                <w:szCs w:val="22"/>
              </w:rPr>
              <w:lastRenderedPageBreak/>
              <w:t>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cancellazione dei dati personali che lo riguardano senza ingiustificato ritardo e il titolare del trattamento ha l'obbligo di cancellare senza </w:t>
            </w:r>
            <w:r w:rsidRPr="000065F4">
              <w:rPr>
                <w:rFonts w:ascii="Times New Roman" w:hAnsi="Times New Roman" w:cs="Times New Roman"/>
                <w:sz w:val="20"/>
                <w:szCs w:val="20"/>
              </w:rPr>
              <w:lastRenderedPageBreak/>
              <w:t xml:space="preserve">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w:t>
            </w:r>
            <w:r w:rsidRPr="000065F4">
              <w:rPr>
                <w:rFonts w:ascii="Times New Roman" w:hAnsi="Times New Roman" w:cs="Times New Roman"/>
                <w:sz w:val="20"/>
                <w:szCs w:val="20"/>
              </w:rPr>
              <w:lastRenderedPageBreak/>
              <w:t xml:space="preserve">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w:t>
            </w:r>
            <w:r w:rsidRPr="000065F4">
              <w:rPr>
                <w:rFonts w:ascii="Times New Roman" w:hAnsi="Times New Roman" w:cs="Times New Roman"/>
                <w:sz w:val="20"/>
                <w:szCs w:val="20"/>
              </w:rPr>
              <w:lastRenderedPageBreak/>
              <w:t>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 xml:space="preserve">investigazioni o le ricerche o la raccolta di informazioni per conto </w:t>
            </w:r>
            <w:r w:rsidRPr="000065F4">
              <w:rPr>
                <w:rFonts w:ascii="Times New Roman" w:hAnsi="Times New Roman" w:cs="Times New Roman"/>
                <w:sz w:val="20"/>
                <w:szCs w:val="20"/>
              </w:rPr>
              <w:lastRenderedPageBreak/>
              <w:t>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2A" w:rsidRDefault="00DD7C2A" w:rsidP="001F34C9">
      <w:r>
        <w:separator/>
      </w:r>
    </w:p>
  </w:endnote>
  <w:endnote w:type="continuationSeparator" w:id="0">
    <w:p w:rsidR="00DD7C2A" w:rsidRDefault="00DD7C2A"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D46D7">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2A" w:rsidRDefault="00DD7C2A" w:rsidP="001F34C9">
      <w:r>
        <w:separator/>
      </w:r>
    </w:p>
  </w:footnote>
  <w:footnote w:type="continuationSeparator" w:id="0">
    <w:p w:rsidR="00DD7C2A" w:rsidRDefault="00DD7C2A"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A5088"/>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46D7"/>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D7C2A"/>
    <w:rsid w:val="00DE5468"/>
    <w:rsid w:val="00DF182A"/>
    <w:rsid w:val="00DF3E98"/>
    <w:rsid w:val="00DF4033"/>
    <w:rsid w:val="00E261A8"/>
    <w:rsid w:val="00E46207"/>
    <w:rsid w:val="00E64934"/>
    <w:rsid w:val="00E66891"/>
    <w:rsid w:val="00E72313"/>
    <w:rsid w:val="00E932F4"/>
    <w:rsid w:val="00EA2B31"/>
    <w:rsid w:val="00EC5C25"/>
    <w:rsid w:val="00ED0614"/>
    <w:rsid w:val="00EE282E"/>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5259</Words>
  <Characters>29979</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51</cp:revision>
  <cp:lastPrinted>2018-04-19T06:32:00Z</cp:lastPrinted>
  <dcterms:created xsi:type="dcterms:W3CDTF">2018-08-08T08:44:00Z</dcterms:created>
  <dcterms:modified xsi:type="dcterms:W3CDTF">2019-06-17T11:32:00Z</dcterms:modified>
</cp:coreProperties>
</file>